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529" w:rsidRDefault="00AA6529"/>
    <w:p w:rsidR="00AA6529" w:rsidRDefault="003A256C">
      <w:r>
        <w:rPr>
          <w:noProof/>
          <w:lang w:eastAsia="de-DE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76680</wp:posOffset>
            </wp:positionH>
            <wp:positionV relativeFrom="paragraph">
              <wp:posOffset>17280</wp:posOffset>
            </wp:positionV>
            <wp:extent cx="2051639" cy="925919"/>
            <wp:effectExtent l="0" t="0" r="5761" b="7531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639" cy="92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6529" w:rsidRDefault="00AA6529"/>
    <w:p w:rsidR="00AA6529" w:rsidRDefault="00AA6529"/>
    <w:p w:rsidR="00AA6529" w:rsidRDefault="00AA6529">
      <w:pPr>
        <w:rPr>
          <w:b/>
          <w:bCs/>
          <w:sz w:val="28"/>
          <w:szCs w:val="28"/>
        </w:rPr>
      </w:pPr>
    </w:p>
    <w:p w:rsidR="00AA6529" w:rsidRDefault="00AA6529">
      <w:pPr>
        <w:rPr>
          <w:b/>
          <w:bCs/>
          <w:sz w:val="28"/>
          <w:szCs w:val="28"/>
        </w:rPr>
      </w:pPr>
    </w:p>
    <w:p w:rsidR="00AA6529" w:rsidRDefault="00AA6529">
      <w:pPr>
        <w:rPr>
          <w:b/>
          <w:bCs/>
          <w:sz w:val="28"/>
          <w:szCs w:val="28"/>
        </w:rPr>
      </w:pPr>
    </w:p>
    <w:p w:rsidR="00AA6529" w:rsidRDefault="00AA6529">
      <w:pPr>
        <w:rPr>
          <w:b/>
          <w:bCs/>
          <w:sz w:val="28"/>
          <w:szCs w:val="28"/>
        </w:rPr>
      </w:pPr>
    </w:p>
    <w:p w:rsidR="00AA6529" w:rsidRDefault="003A25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Mitteilung von Empfindlichkeitstestungen für Aminopenicilline (± Inhibitor) bei Enterobakterien</w:t>
      </w:r>
    </w:p>
    <w:p w:rsidR="00AA6529" w:rsidRDefault="00AA6529"/>
    <w:p w:rsidR="00AA6529" w:rsidRDefault="00701A79">
      <w:r>
        <w:t>0</w:t>
      </w:r>
      <w:bookmarkStart w:id="0" w:name="_GoBack"/>
      <w:r w:rsidR="00495984">
        <w:t>8</w:t>
      </w:r>
      <w:bookmarkEnd w:id="0"/>
      <w:r w:rsidR="003A256C">
        <w:t>.0</w:t>
      </w:r>
      <w:r>
        <w:t>4</w:t>
      </w:r>
      <w:r w:rsidR="003A256C">
        <w:t>.2019</w:t>
      </w:r>
    </w:p>
    <w:p w:rsidR="00AA6529" w:rsidRDefault="00AA6529"/>
    <w:p w:rsidR="003A3428" w:rsidRDefault="00A54840">
      <w:pPr>
        <w:spacing w:before="170"/>
      </w:pPr>
      <w:r w:rsidRPr="00A54840">
        <w:t>Die vom NAK</w:t>
      </w:r>
      <w:r>
        <w:t xml:space="preserve"> für die Aminopenicilline (+/- </w:t>
      </w:r>
      <w:r w:rsidRPr="00A54840">
        <w:t>Inhibitor) bei Enterobakterien festgelegten Grenzwerte verlieren durch Festlegung neuer Standarddosierungen durch EUCAST ihre Gültigkeit</w:t>
      </w:r>
      <w:r w:rsidR="003A3428">
        <w:t xml:space="preserve">. </w:t>
      </w:r>
    </w:p>
    <w:p w:rsidR="00AA6529" w:rsidRDefault="003A3428">
      <w:pPr>
        <w:spacing w:before="170"/>
      </w:pPr>
      <w:r w:rsidRPr="00A54840">
        <w:rPr>
          <w:u w:val="single"/>
        </w:rPr>
        <w:t>Begründung</w:t>
      </w:r>
      <w:r>
        <w:t xml:space="preserve">: </w:t>
      </w:r>
      <w:r w:rsidR="003A256C">
        <w:t>Das NAK hat</w:t>
      </w:r>
      <w:r>
        <w:t>te</w:t>
      </w:r>
      <w:r w:rsidR="003A256C">
        <w:t xml:space="preserve"> vorgeschlagen, Enterobakterien gegenüber Ampicillin, Ampicillin-Sulbactam, Amoxicillin und Amoxicillin-Clavulansäure nur als I, sensibel bei erhöhter Exposition/Dosis zu klassifizieren. Dies basierte auf den in früheren Dosierungstabellen der EUCAST angegebenen niedrigen Dosen der Aminopenicilline bzw. der Inhibitor</w:t>
      </w:r>
      <w:r w:rsidR="00915E11">
        <w:t>-K</w:t>
      </w:r>
      <w:r w:rsidR="003A256C">
        <w:t>ombinationen</w:t>
      </w:r>
      <w:r w:rsidR="00F22E56">
        <w:t>.</w:t>
      </w:r>
      <w:r w:rsidR="00915E11">
        <w:t xml:space="preserve"> </w:t>
      </w:r>
      <w:r w:rsidR="00F22E56">
        <w:t>F</w:t>
      </w:r>
      <w:r w:rsidR="003A256C">
        <w:t xml:space="preserve">ür eine ausreichende Therapie </w:t>
      </w:r>
      <w:r w:rsidR="00915E11">
        <w:t xml:space="preserve">von Infektionen mit </w:t>
      </w:r>
      <w:r w:rsidR="003A256C">
        <w:t>empfindliche</w:t>
      </w:r>
      <w:r w:rsidR="00915E11">
        <w:t>n</w:t>
      </w:r>
      <w:r w:rsidR="003A256C">
        <w:t xml:space="preserve"> Enterobak</w:t>
      </w:r>
      <w:r w:rsidR="00F22E56">
        <w:t>t</w:t>
      </w:r>
      <w:r w:rsidR="003A256C">
        <w:t>erien mussten die in der Spalte für die hohe Dosis angegebenen Dosierungen eingesetzt werden.</w:t>
      </w:r>
    </w:p>
    <w:p w:rsidR="00AA6529" w:rsidRDefault="003A256C">
      <w:pPr>
        <w:spacing w:before="170"/>
      </w:pPr>
      <w:r>
        <w:t>Mit der Breakpoint</w:t>
      </w:r>
      <w:r w:rsidR="00F22E56">
        <w:t>-T</w:t>
      </w:r>
      <w:r>
        <w:t>abelle V 9.0 (01.01.2019) wurden von EUCAST die Standarddosierungen so verändert, dass diese nunmehr bei Ampicillin, Ampicillin-Sulbactam und Amoxicillin für die Therapie von empfindlichen Enterobakterien ausreichen</w:t>
      </w:r>
      <w:r w:rsidR="00915E11">
        <w:t>;</w:t>
      </w:r>
      <w:r>
        <w:t xml:space="preserve"> sie betragen bei Ampicillin 3 x 2g i.v., bei Amoxicillin 3-4 x 1g i.v.</w:t>
      </w:r>
      <w:r w:rsidR="00915E11">
        <w:t xml:space="preserve"> und</w:t>
      </w:r>
      <w:r>
        <w:t xml:space="preserve"> bei Ampicillin-Sulbactam 3 x (2g Ampicillin + 1g Su</w:t>
      </w:r>
      <w:r w:rsidR="00F22E56">
        <w:t>l</w:t>
      </w:r>
      <w:r>
        <w:t>bactam). Dabei muss angeraten werden, bei Amoxicillin mindestens die 4 x 1g Dosierung zu verwenden</w:t>
      </w:r>
      <w:r w:rsidR="00915E11">
        <w:t>.</w:t>
      </w:r>
      <w:r>
        <w:t xml:space="preserve"> </w:t>
      </w:r>
      <w:r w:rsidR="00915E11">
        <w:t xml:space="preserve">Es </w:t>
      </w:r>
      <w:r>
        <w:t>spricht auch nichts dagegen, 3 x 2g Amoxicillin zu verwenden.</w:t>
      </w:r>
    </w:p>
    <w:p w:rsidR="00391322" w:rsidRDefault="003A256C">
      <w:pPr>
        <w:spacing w:before="170"/>
      </w:pPr>
      <w:r>
        <w:t xml:space="preserve">Für die genannten Antibiotika darf daher (nach entsprechender Information der Befundempfänger) </w:t>
      </w:r>
      <w:r w:rsidR="00F77A71" w:rsidRPr="00033786">
        <w:rPr>
          <w:b/>
        </w:rPr>
        <w:t>für die iv-Gabe</w:t>
      </w:r>
      <w:r w:rsidR="00F77A71">
        <w:t xml:space="preserve"> </w:t>
      </w:r>
      <w:r>
        <w:t>die Bezeichnung S für empfindliche Stämme verwendet werden.</w:t>
      </w:r>
      <w:r w:rsidR="00F77A71">
        <w:t xml:space="preserve"> </w:t>
      </w:r>
    </w:p>
    <w:p w:rsidR="00AA6529" w:rsidRDefault="003A256C">
      <w:pPr>
        <w:spacing w:before="170"/>
      </w:pPr>
      <w:r>
        <w:t>In Übereinstimmung mit der Dosierung von Amoxicillin empfiehlt EUCAST bei Amoxicillin-Clavulansäure 3 – 4 x (1g Amoxicillin + 0,2g Clavulansäure)</w:t>
      </w:r>
      <w:r w:rsidR="004F0F21">
        <w:t>;</w:t>
      </w:r>
      <w:r>
        <w:t xml:space="preserve"> die Dosierung </w:t>
      </w:r>
      <w:r w:rsidR="004F0F21">
        <w:t xml:space="preserve">von 4 x </w:t>
      </w:r>
      <w:r w:rsidR="003A3428">
        <w:t>(1g Amoxicillin + 0,2g Clavulansäure)</w:t>
      </w:r>
      <w:r w:rsidR="004F0F21">
        <w:t xml:space="preserve"> </w:t>
      </w:r>
      <w:r>
        <w:t xml:space="preserve">entspricht allerdings nicht der europäischen Zulassung, </w:t>
      </w:r>
      <w:r w:rsidR="004F0F21">
        <w:t xml:space="preserve">welche </w:t>
      </w:r>
      <w:r>
        <w:t>die Dosis von Clavulansäure auf 0,6g pro Tag begrenzt. Wenn Amoxicillin-Clavulansäure für die Therapie von Infektionen mit Enterobakterien verwendet werden soll, muss die als Hochdosis angegebene Dosierung von 3 x (2g Amoxicillin + 0,2g Clavulansäure) verwendet werden. Diese Dosis entspräche auch der für Ampicillin bzw. Ampicillin-Sulbactam angegebenen Standarddosis.</w:t>
      </w:r>
    </w:p>
    <w:p w:rsidR="00AA6529" w:rsidRDefault="003A256C">
      <w:pPr>
        <w:spacing w:before="170"/>
      </w:pPr>
      <w:r>
        <w:t xml:space="preserve">Formal würde dies bedeuten, dass man für Ampicillin-Sulbactam ein S und für Amoxicillin-Clavulansäure ein I </w:t>
      </w:r>
      <w:r w:rsidR="004F0F21">
        <w:t xml:space="preserve">mitteilen </w:t>
      </w:r>
      <w:r>
        <w:t xml:space="preserve">müsste, sofern man beide Substanzen angibt. Da die Dosierungen von Amoxicillin und Amoxicillin-Clavulansäure bei EUCAST als „under review“ gekennzeichnet sind, wäre eine Lösung, nur Ampicillin-Sulbactam </w:t>
      </w:r>
      <w:r w:rsidR="004F0F21">
        <w:t>mitzuteilen</w:t>
      </w:r>
      <w:r>
        <w:t xml:space="preserve">. Alternativ müsste ein für Amoxicillin-Clavulansäure </w:t>
      </w:r>
      <w:r w:rsidR="004F0F21">
        <w:t xml:space="preserve">mitgeteiltes </w:t>
      </w:r>
      <w:r>
        <w:t xml:space="preserve">S mit einem Kommentar versehen </w:t>
      </w:r>
      <w:r w:rsidR="00915E11">
        <w:t>werden</w:t>
      </w:r>
      <w:r>
        <w:t xml:space="preserve">, </w:t>
      </w:r>
      <w:r w:rsidR="00915E11">
        <w:t xml:space="preserve">der darüber informiert, </w:t>
      </w:r>
      <w:r>
        <w:t xml:space="preserve">dass diese Bewertung nur für die Dosierung von 3 x (2g Amoxicillin + 0,2g Clavulansäure) </w:t>
      </w:r>
      <w:r w:rsidR="00F77A71">
        <w:t xml:space="preserve">iv </w:t>
      </w:r>
      <w:r>
        <w:t>gilt.</w:t>
      </w:r>
    </w:p>
    <w:p w:rsidR="00391322" w:rsidRDefault="00391322">
      <w:pPr>
        <w:spacing w:before="170"/>
      </w:pPr>
      <w:r>
        <w:lastRenderedPageBreak/>
        <w:t xml:space="preserve">Zu bedenken ist ferner, dass bei oraler Gabe von Aminopenicillinen </w:t>
      </w:r>
      <w:r w:rsidR="00033786">
        <w:t>niedrigere</w:t>
      </w:r>
      <w:r>
        <w:t xml:space="preserve"> Serumspiegel erreicht</w:t>
      </w:r>
      <w:r w:rsidRPr="00391322">
        <w:t xml:space="preserve"> </w:t>
      </w:r>
      <w:r>
        <w:t xml:space="preserve">werden. Es </w:t>
      </w:r>
      <w:r w:rsidR="00033786">
        <w:t>kann daher sinnvoll sein</w:t>
      </w:r>
      <w:r>
        <w:t>, auf dem Antibiogramm zwischen oraler und iv-Formulierung zu unterscheiden</w:t>
      </w:r>
      <w:r w:rsidR="00033786">
        <w:t xml:space="preserve"> und bei schweren Infektionen (z.B. Blutstrominfektionen) und Infektionen außerhalb des Harntraktes für Enterobakterien nur die iv-Formulierungen anzugeben.</w:t>
      </w:r>
    </w:p>
    <w:p w:rsidR="00AA6529" w:rsidRDefault="00AA6529">
      <w:pPr>
        <w:spacing w:before="170"/>
      </w:pPr>
    </w:p>
    <w:p w:rsidR="00AA6529" w:rsidRDefault="00495984">
      <w:hyperlink r:id="rId7" w:history="1">
        <w:r w:rsidR="003A256C">
          <w:t>http://www.nak-deutschland.org/nak-deutschland/nak-dokumente/grenzwerte.html</w:t>
        </w:r>
      </w:hyperlink>
    </w:p>
    <w:p w:rsidR="00AA6529" w:rsidRDefault="00495984">
      <w:hyperlink r:id="rId8" w:history="1">
        <w:r w:rsidR="003A256C">
          <w:t>http://www.eucast.org/clinical_breakpoints/</w:t>
        </w:r>
      </w:hyperlink>
    </w:p>
    <w:p w:rsidR="00AA6529" w:rsidRDefault="00495984">
      <w:hyperlink r:id="rId9" w:history="1">
        <w:r w:rsidR="003A256C">
          <w:t>https://www.ema.europa.eu/en/documents/referral/augmentin-article-30-annex-iii_en.pdf</w:t>
        </w:r>
      </w:hyperlink>
    </w:p>
    <w:sectPr w:rsidR="00AA6529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C67" w:rsidRDefault="00E54C67">
      <w:r>
        <w:separator/>
      </w:r>
    </w:p>
  </w:endnote>
  <w:endnote w:type="continuationSeparator" w:id="0">
    <w:p w:rsidR="00E54C67" w:rsidRDefault="00E54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ans">
    <w:altName w:val="Arial"/>
    <w:charset w:val="01"/>
    <w:family w:val="swiss"/>
    <w:pitch w:val="default"/>
  </w:font>
  <w:font w:name="Noto Sans CJK SC Regular">
    <w:altName w:val="Times New Roman"/>
    <w:charset w:val="00"/>
    <w:family w:val="auto"/>
    <w:pitch w:val="variable"/>
  </w:font>
  <w:font w:name="Free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C67" w:rsidRDefault="00E54C67">
      <w:r>
        <w:rPr>
          <w:color w:val="000000"/>
        </w:rPr>
        <w:separator/>
      </w:r>
    </w:p>
  </w:footnote>
  <w:footnote w:type="continuationSeparator" w:id="0">
    <w:p w:rsidR="00E54C67" w:rsidRDefault="00E54C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529"/>
    <w:rsid w:val="00033786"/>
    <w:rsid w:val="001E3FC8"/>
    <w:rsid w:val="003808A2"/>
    <w:rsid w:val="00391322"/>
    <w:rsid w:val="003A256C"/>
    <w:rsid w:val="003A3428"/>
    <w:rsid w:val="00495984"/>
    <w:rsid w:val="004F0F21"/>
    <w:rsid w:val="005D2C5A"/>
    <w:rsid w:val="0063264C"/>
    <w:rsid w:val="00663649"/>
    <w:rsid w:val="00701A79"/>
    <w:rsid w:val="00915E11"/>
    <w:rsid w:val="0093106F"/>
    <w:rsid w:val="00A54840"/>
    <w:rsid w:val="00AA6529"/>
    <w:rsid w:val="00E54C67"/>
    <w:rsid w:val="00E74677"/>
    <w:rsid w:val="00F22E56"/>
    <w:rsid w:val="00F77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5D2405-0760-4F6A-971C-F625C9DE3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ans" w:eastAsia="Noto Sans CJK SC Regular" w:hAnsi="Liberation Sans" w:cs="FreeSans"/>
        <w:kern w:val="3"/>
        <w:sz w:val="24"/>
        <w:szCs w:val="24"/>
        <w:lang w:val="de-DE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106F"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106F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cast.org/clinical_breakpoints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nak-deutschland.org/nak-deutschland/nak-dokumente/grenzwerte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ema.europa.eu/en/documents/referral/augmentin-article-30-annex-iii_en.pdf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3071</Characters>
  <Application>Microsoft Office Word</Application>
  <DocSecurity>4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Gatermann</dc:creator>
  <cp:lastModifiedBy>Kresken</cp:lastModifiedBy>
  <cp:revision>2</cp:revision>
  <dcterms:created xsi:type="dcterms:W3CDTF">2019-04-08T09:11:00Z</dcterms:created>
  <dcterms:modified xsi:type="dcterms:W3CDTF">2019-04-08T09:11:00Z</dcterms:modified>
</cp:coreProperties>
</file>